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4B83EB60" w:rsidR="00060B9F" w:rsidRDefault="00335C09">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15.02.2022</w:t>
            </w:r>
          </w:p>
        </w:tc>
      </w:tr>
      <w:tr w:rsidR="00060B9F" w:rsidRPr="00470A7B" w14:paraId="4BCE48E6" w14:textId="77777777" w:rsidTr="00984ED4">
        <w:trPr>
          <w:trHeight w:val="1538"/>
        </w:trPr>
        <w:tc>
          <w:tcPr>
            <w:tcW w:w="7348" w:type="dxa"/>
            <w:tcMar>
              <w:top w:w="0" w:type="dxa"/>
            </w:tcMar>
          </w:tcPr>
          <w:p w14:paraId="35C094C4" w14:textId="77777777" w:rsidR="00C44385" w:rsidRPr="00C44385" w:rsidRDefault="00C44385" w:rsidP="00C44385">
            <w:pPr>
              <w:spacing w:line="240" w:lineRule="auto"/>
              <w:rPr>
                <w:rFonts w:cs="Arial"/>
                <w:sz w:val="36"/>
                <w:szCs w:val="36"/>
              </w:rPr>
            </w:pPr>
            <w:bookmarkStart w:id="1" w:name="Thema1"/>
            <w:bookmarkStart w:id="2" w:name="Thema2"/>
            <w:bookmarkEnd w:id="1"/>
            <w:bookmarkEnd w:id="2"/>
            <w:r w:rsidRPr="00C44385">
              <w:rPr>
                <w:rFonts w:cs="Arial"/>
                <w:sz w:val="36"/>
                <w:szCs w:val="36"/>
              </w:rPr>
              <w:t>Formnext 2022: äußerst erfolgreicher Auftakt ins neue Messejahr</w:t>
            </w:r>
          </w:p>
          <w:p w14:paraId="1D8AE18B" w14:textId="77777777" w:rsidR="00060B9F" w:rsidRPr="00107686" w:rsidRDefault="00060B9F">
            <w:pPr>
              <w:spacing w:line="280" w:lineRule="atLeast"/>
              <w:rPr>
                <w:noProof/>
              </w:rPr>
            </w:pP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3559C2"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7DFE55D5" w14:textId="77777777" w:rsidR="006D2514" w:rsidRPr="006D2514" w:rsidRDefault="006D2514" w:rsidP="006D2514">
      <w:pPr>
        <w:rPr>
          <w:rFonts w:cs="Arial"/>
          <w:b/>
          <w:szCs w:val="22"/>
        </w:rPr>
      </w:pPr>
      <w:bookmarkStart w:id="4" w:name="V_head1"/>
      <w:bookmarkEnd w:id="4"/>
      <w:r w:rsidRPr="006D2514">
        <w:rPr>
          <w:rFonts w:cs="Arial"/>
          <w:b/>
          <w:szCs w:val="22"/>
        </w:rPr>
        <w:t xml:space="preserve">Bereits Anfang Februar verzeichnet die Formnext mit über 300 angemeldeten Ausstellern einen sehr erfolgreichen Auftakt ins Jahr 2022. Zu den angemeldeten Ausstellern zählt die weltweite Elite des Additive Manufacturing sowie zahlreiche namhafte internationale Konzerne mit Lösungen entlang der gesamten Prozesskette. </w:t>
      </w:r>
    </w:p>
    <w:p w14:paraId="1B9CAA6A" w14:textId="0F8313AB" w:rsidR="00335C09" w:rsidRPr="00335C09" w:rsidRDefault="00335C09" w:rsidP="00335C09">
      <w:pPr>
        <w:pStyle w:val="StandardWeb"/>
        <w:spacing w:line="280" w:lineRule="atLeast"/>
        <w:rPr>
          <w:rFonts w:ascii="Arial" w:hAnsi="Arial" w:cs="Arial"/>
          <w:sz w:val="22"/>
          <w:szCs w:val="20"/>
        </w:rPr>
      </w:pPr>
      <w:r w:rsidRPr="00335C09">
        <w:rPr>
          <w:rFonts w:ascii="Arial" w:hAnsi="Arial" w:cs="Arial"/>
          <w:sz w:val="22"/>
          <w:szCs w:val="20"/>
        </w:rPr>
        <w:t xml:space="preserve">Die angemeldeten Aussteller, die aus 30 Nationen kommen, beeindrucken auch mit einer hohen Internationalität von 52 Prozent und füllen mit ihren Buchungen bereits jetzt nahezu die Gesamtfläche der Formnext 2021. Darunter finden sich international führende AM-Unternehmen wie: 3D Systems, Additive Industries, AddUp, Arburg, , BigRep, Desktop Metal, Dyemansion, EOS, Evonik, Farsoon, Formlabs, GE Additive, HP, </w:t>
      </w:r>
      <w:r w:rsidRPr="00335C09">
        <w:rPr>
          <w:rFonts w:ascii="Arial" w:hAnsi="Arial" w:cs="Arial"/>
          <w:sz w:val="22"/>
          <w:szCs w:val="20"/>
        </w:rPr>
        <w:t xml:space="preserve">Keyence, </w:t>
      </w:r>
      <w:r w:rsidRPr="00335C09">
        <w:rPr>
          <w:rFonts w:ascii="Arial" w:hAnsi="Arial" w:cs="Arial"/>
          <w:sz w:val="22"/>
          <w:szCs w:val="20"/>
        </w:rPr>
        <w:t xml:space="preserve">Markforged, Materialise, Nikon, Renishaw, </w:t>
      </w:r>
      <w:r w:rsidRPr="00335C09">
        <w:rPr>
          <w:rFonts w:ascii="Arial" w:hAnsi="Arial" w:cs="Arial"/>
          <w:sz w:val="22"/>
          <w:szCs w:val="20"/>
        </w:rPr>
        <w:t xml:space="preserve">Ricoh, </w:t>
      </w:r>
      <w:r w:rsidRPr="00335C09">
        <w:rPr>
          <w:rFonts w:ascii="Arial" w:hAnsi="Arial" w:cs="Arial"/>
          <w:sz w:val="22"/>
          <w:szCs w:val="20"/>
        </w:rPr>
        <w:t>Sandvik, Siemens, Sisma, Stratasys, Trumpf, Voxeljet, XJ</w:t>
      </w:r>
      <w:r>
        <w:rPr>
          <w:rFonts w:ascii="Arial" w:hAnsi="Arial" w:cs="Arial"/>
          <w:sz w:val="22"/>
          <w:szCs w:val="20"/>
        </w:rPr>
        <w:t xml:space="preserve">et und </w:t>
      </w:r>
      <w:r w:rsidRPr="00335C09">
        <w:rPr>
          <w:rFonts w:ascii="Arial" w:hAnsi="Arial" w:cs="Arial"/>
          <w:sz w:val="22"/>
          <w:szCs w:val="20"/>
        </w:rPr>
        <w:t>Zeiss</w:t>
      </w:r>
      <w:r>
        <w:rPr>
          <w:rFonts w:ascii="Arial" w:hAnsi="Arial" w:cs="Arial"/>
          <w:sz w:val="22"/>
          <w:szCs w:val="20"/>
        </w:rPr>
        <w:t>.</w:t>
      </w:r>
    </w:p>
    <w:p w14:paraId="11CD34C7" w14:textId="329643F7" w:rsidR="00335C09" w:rsidRDefault="00335C09" w:rsidP="00335C09">
      <w:pPr>
        <w:rPr>
          <w:rFonts w:cs="Arial"/>
        </w:rPr>
      </w:pPr>
      <w:r w:rsidRPr="00335C09">
        <w:rPr>
          <w:rFonts w:cs="Arial"/>
        </w:rPr>
        <w:t>„Zu einem so frühen Zeitpunkt im Jahr hatten wir noch nie eine so große Anzahl Anmeldungen“, freut sich Sascha F. Wenzler, Vice President Formnext beim Veranstalter Mesago Messe Frankfurt GmbH.</w:t>
      </w:r>
    </w:p>
    <w:p w14:paraId="49BA2116" w14:textId="77777777" w:rsidR="00335C09" w:rsidRPr="00335C09" w:rsidRDefault="00335C09" w:rsidP="00335C09">
      <w:pPr>
        <w:rPr>
          <w:rFonts w:cs="Arial"/>
        </w:rPr>
      </w:pPr>
    </w:p>
    <w:p w14:paraId="086E7FF4" w14:textId="17E8F132" w:rsidR="00335C09" w:rsidRDefault="00335C09" w:rsidP="00335C09">
      <w:pPr>
        <w:rPr>
          <w:rFonts w:cs="Arial"/>
        </w:rPr>
      </w:pPr>
      <w:r w:rsidRPr="00A61C32">
        <w:rPr>
          <w:rFonts w:cs="Arial"/>
        </w:rPr>
        <w:t xml:space="preserve">Ebenso </w:t>
      </w:r>
      <w:r>
        <w:rPr>
          <w:rFonts w:cs="Arial"/>
        </w:rPr>
        <w:t>registriert</w:t>
      </w:r>
      <w:r w:rsidRPr="00714DC5">
        <w:rPr>
          <w:rFonts w:cs="Arial"/>
        </w:rPr>
        <w:t xml:space="preserve"> h</w:t>
      </w:r>
      <w:r w:rsidRPr="00A61C32">
        <w:rPr>
          <w:rFonts w:cs="Arial"/>
        </w:rPr>
        <w:t xml:space="preserve">aben sich namhafte Konzerne, die die additive </w:t>
      </w:r>
      <w:r>
        <w:rPr>
          <w:rFonts w:cs="Arial"/>
        </w:rPr>
        <w:t>F</w:t>
      </w:r>
      <w:r w:rsidRPr="00A61C32">
        <w:rPr>
          <w:rFonts w:cs="Arial"/>
        </w:rPr>
        <w:t xml:space="preserve">ertigung für sich entdeckt haben und innovative Lösungen entlang der additiven Prozesskette anbieten wie zum Beispiel </w:t>
      </w:r>
      <w:r>
        <w:rPr>
          <w:rFonts w:cs="Arial"/>
        </w:rPr>
        <w:t>BASF 3D Printing Solutions,</w:t>
      </w:r>
      <w:r w:rsidRPr="002B67CA">
        <w:rPr>
          <w:rFonts w:cs="Arial"/>
        </w:rPr>
        <w:t xml:space="preserve"> </w:t>
      </w:r>
      <w:r>
        <w:rPr>
          <w:rFonts w:cs="Arial"/>
        </w:rPr>
        <w:t>Covestro,</w:t>
      </w:r>
      <w:r w:rsidRPr="002B67CA">
        <w:rPr>
          <w:rFonts w:cs="Arial"/>
        </w:rPr>
        <w:t xml:space="preserve"> </w:t>
      </w:r>
      <w:r>
        <w:rPr>
          <w:rFonts w:cs="Arial"/>
        </w:rPr>
        <w:t>GKN Sinter Metal Components, Höganäs, Oerlikon,</w:t>
      </w:r>
      <w:r w:rsidRPr="002B67CA">
        <w:rPr>
          <w:rFonts w:cs="Arial"/>
        </w:rPr>
        <w:t xml:space="preserve"> </w:t>
      </w:r>
      <w:r>
        <w:rPr>
          <w:rFonts w:cs="Arial"/>
        </w:rPr>
        <w:t>SMS Group und zahlreiche andere.</w:t>
      </w:r>
    </w:p>
    <w:p w14:paraId="42072894" w14:textId="77777777" w:rsidR="00335C09" w:rsidRPr="00A61C32" w:rsidRDefault="00335C09" w:rsidP="00335C09">
      <w:pPr>
        <w:rPr>
          <w:rFonts w:cs="Arial"/>
        </w:rPr>
      </w:pPr>
    </w:p>
    <w:p w14:paraId="122F55F6" w14:textId="77777777" w:rsidR="00335C09" w:rsidRDefault="00335C09" w:rsidP="00335C09">
      <w:pPr>
        <w:rPr>
          <w:rFonts w:cstheme="minorHAnsi"/>
        </w:rPr>
      </w:pPr>
      <w:r>
        <w:rPr>
          <w:rFonts w:cstheme="minorHAnsi"/>
        </w:rPr>
        <w:t xml:space="preserve">Unter den </w:t>
      </w:r>
      <w:r w:rsidRPr="00335C09">
        <w:rPr>
          <w:rFonts w:cstheme="minorHAnsi"/>
        </w:rPr>
        <w:t>bereits angemeldeten internationalen</w:t>
      </w:r>
      <w:r>
        <w:rPr>
          <w:rFonts w:cstheme="minorHAnsi"/>
        </w:rPr>
        <w:t xml:space="preserve"> Ausstellern am stärksten vertreten sind Unternehmen aus den USA (14,6 Prozent der internationalen Aussteller), Italien (11,1 Prozent), Großbritannien (7,6 Prozent) sowie Frankreich und die Niederlande (jeweils 6,3 Prozent). „Diese erfolgreiche Entwicklung zeigt, dass die Aussteller die Formnext nach wie vor als wichtigsten Branchentreffpunkt und äußerst wertvolle Messeplattform sehen, und lässt uns mit viel Zuversicht auf eine erfolgreiche Formnext 2022 schauen“, so Wenzler. „Gleichzeitig unterstreicht die Entwicklung auch, dass für viele Unternehmen der AM-Branche persönliche Begegnungen unverzichtbar sind, um erfolgreich Business zu betreiben, Entwicklungen voranzubringen oder Partner und Investoren zu finden.“</w:t>
      </w:r>
    </w:p>
    <w:p w14:paraId="27AC8EB5" w14:textId="77777777" w:rsidR="00335C09" w:rsidRDefault="00335C09" w:rsidP="00335C09">
      <w:pPr>
        <w:rPr>
          <w:rFonts w:cstheme="minorHAnsi"/>
        </w:rPr>
      </w:pPr>
    </w:p>
    <w:p w14:paraId="04943857" w14:textId="77777777" w:rsidR="00335C09" w:rsidRDefault="00335C09" w:rsidP="00335C09">
      <w:pPr>
        <w:rPr>
          <w:rFonts w:cstheme="minorHAnsi"/>
          <w:lang w:val="de-AT"/>
        </w:rPr>
      </w:pPr>
      <w:r>
        <w:rPr>
          <w:rFonts w:cstheme="minorHAnsi"/>
        </w:rPr>
        <w:t xml:space="preserve">Im aktuellen Jahr können Unternehmen noch </w:t>
      </w:r>
      <w:r>
        <w:rPr>
          <w:rFonts w:cstheme="minorHAnsi"/>
          <w:lang w:val="de-AT"/>
        </w:rPr>
        <w:t xml:space="preserve">bis 31.03.2022 vom Frühbucherrabatt (mehr als 17 % Nachlass) profitieren. </w:t>
      </w:r>
    </w:p>
    <w:p w14:paraId="12B6DDBC" w14:textId="77777777" w:rsidR="00335C09" w:rsidRDefault="00335C09" w:rsidP="00335C09">
      <w:pPr>
        <w:rPr>
          <w:rFonts w:cstheme="minorHAnsi"/>
          <w:lang w:val="de-AT"/>
        </w:rPr>
      </w:pPr>
    </w:p>
    <w:p w14:paraId="7C92F077" w14:textId="0C653BF5" w:rsidR="00335C09" w:rsidRDefault="00335C09" w:rsidP="00335C09">
      <w:pPr>
        <w:rPr>
          <w:rFonts w:cstheme="minorHAnsi"/>
          <w:color w:val="000000"/>
        </w:rPr>
      </w:pPr>
      <w:r>
        <w:rPr>
          <w:rFonts w:cstheme="minorHAnsi"/>
          <w:lang w:val="de-AT"/>
        </w:rPr>
        <w:t xml:space="preserve">Die Formnext Webseite bietet zusätzlich zur Messe im November eine zentrale Anlaufstelle für die an AM interessierte Fachwelt. So finden sich dort eine umfangreiche </w:t>
      </w:r>
      <w:r>
        <w:rPr>
          <w:rFonts w:cstheme="minorHAnsi"/>
          <w:color w:val="000000"/>
        </w:rPr>
        <w:t xml:space="preserve">Mediathek mit Fachbeiträgen und Präsentationen von Industrieexperten. Zudem bietet das AM Directory der Formnext das umfassendste Verzeichnis von Anbietern mit Lösungen für die additive Fertigung. </w:t>
      </w:r>
    </w:p>
    <w:p w14:paraId="726461C8" w14:textId="56BC9493" w:rsidR="00060B9F" w:rsidRPr="00BE21B3" w:rsidRDefault="00060B9F" w:rsidP="00060B9F">
      <w:pPr>
        <w:spacing w:line="280" w:lineRule="atLeast"/>
        <w:rPr>
          <w:rFonts w:cs="Arial"/>
          <w:szCs w:val="22"/>
        </w:rPr>
      </w:pPr>
    </w:p>
    <w:p w14:paraId="100818B7" w14:textId="37750D50" w:rsidR="00060B9F" w:rsidRPr="00BE21B3" w:rsidRDefault="00335C09" w:rsidP="00060B9F">
      <w:pPr>
        <w:spacing w:line="280" w:lineRule="atLeast"/>
        <w:rPr>
          <w:rFonts w:cs="Arial"/>
          <w:szCs w:val="22"/>
        </w:rPr>
      </w:pPr>
      <w:r>
        <w:rPr>
          <w:rFonts w:cs="Arial"/>
          <w:szCs w:val="22"/>
        </w:rPr>
        <w:t xml:space="preserve">Weitere Informationen sind unter </w:t>
      </w:r>
      <w:hyperlink r:id="rId8" w:history="1">
        <w:r w:rsidRPr="00313B00">
          <w:rPr>
            <w:rStyle w:val="Hyperlink"/>
            <w:rFonts w:cs="Arial"/>
            <w:szCs w:val="22"/>
          </w:rPr>
          <w:t>www.formnext.com</w:t>
        </w:r>
      </w:hyperlink>
      <w:r>
        <w:rPr>
          <w:rFonts w:cs="Arial"/>
          <w:szCs w:val="22"/>
        </w:rPr>
        <w:t xml:space="preserve"> zu finden.</w:t>
      </w:r>
      <w:bookmarkStart w:id="5" w:name="_GoBack"/>
      <w:bookmarkEnd w:id="5"/>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7E724B9" w14:textId="77777777" w:rsidR="001F6A63" w:rsidRDefault="001F6A63" w:rsidP="001F6A63">
      <w:pPr>
        <w:spacing w:line="280" w:lineRule="atLeast"/>
        <w:rPr>
          <w:rFonts w:cs="Arial"/>
          <w:sz w:val="17"/>
          <w:szCs w:val="17"/>
        </w:rPr>
      </w:pPr>
      <w:r>
        <w:rPr>
          <w:rFonts w:cs="Arial"/>
          <w:sz w:val="17"/>
          <w:szCs w:val="17"/>
        </w:rPr>
        <w:t>Die Formnext</w:t>
      </w:r>
      <w:r w:rsidRPr="00D77C86">
        <w:rPr>
          <w:rFonts w:cs="Arial"/>
          <w:sz w:val="17"/>
          <w:szCs w:val="17"/>
        </w:rPr>
        <w:t xml:space="preserve"> ist die Leitmesse für Additive Manufacturing und die nächste Generation intelligenter industrieller Fertigungs- und Herstellungsverfahren. Sie fokussiert vom Design über die Herstellung bis zur Serie die effiziente Realisierung von Produktideen. Veranstalter der </w:t>
      </w:r>
      <w:r>
        <w:rPr>
          <w:rFonts w:cs="Arial"/>
          <w:sz w:val="17"/>
          <w:szCs w:val="17"/>
        </w:rPr>
        <w:t>F</w:t>
      </w:r>
      <w:r w:rsidRPr="00D77C86">
        <w:rPr>
          <w:rFonts w:cs="Arial"/>
          <w:sz w:val="17"/>
          <w:szCs w:val="17"/>
        </w:rPr>
        <w:t>ormnext ist die Mesago Messe Frankfurt GmbH. (</w:t>
      </w:r>
      <w:hyperlink r:id="rId9" w:history="1">
        <w:r w:rsidRPr="00D77C86">
          <w:rPr>
            <w:rStyle w:val="Hyperlink"/>
            <w:rFonts w:cs="Arial"/>
            <w:color w:val="auto"/>
            <w:sz w:val="17"/>
            <w:szCs w:val="17"/>
            <w:u w:val="none"/>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63FB1DB0"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76AA9231" w14:textId="77777777" w:rsidR="00E02A37" w:rsidRPr="008D679E" w:rsidRDefault="00E02A37" w:rsidP="00E02A37">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6F5D63A6" w14:textId="77777777" w:rsidR="00AA41F1" w:rsidRPr="00A00ED0" w:rsidRDefault="00AA41F1" w:rsidP="00AA41F1">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6CC4D794" w14:textId="77777777" w:rsidR="00AA41F1" w:rsidRPr="00327699" w:rsidRDefault="00AA41F1" w:rsidP="00AA41F1">
      <w:pPr>
        <w:spacing w:line="280" w:lineRule="atLeast"/>
        <w:contextualSpacing/>
        <w:rPr>
          <w:rFonts w:cs="Arial"/>
          <w:sz w:val="17"/>
          <w:szCs w:val="17"/>
        </w:rPr>
      </w:pPr>
      <w:r w:rsidRPr="00A00ED0">
        <w:rPr>
          <w:rFonts w:cs="Arial"/>
          <w:sz w:val="17"/>
          <w:szCs w:val="17"/>
        </w:rPr>
        <w:t xml:space="preserve">Weitere Informationen: </w:t>
      </w:r>
      <w:hyperlink r:id="rId11" w:history="1">
        <w:r w:rsidRPr="00A00ED0">
          <w:rPr>
            <w:rStyle w:val="Hyperlink"/>
            <w:rFonts w:cs="Arial"/>
            <w:sz w:val="17"/>
            <w:szCs w:val="17"/>
          </w:rPr>
          <w:t>www.messefrankfurt.com</w:t>
        </w:r>
      </w:hyperlink>
    </w:p>
    <w:p w14:paraId="6D76A38B" w14:textId="77777777" w:rsidR="000C35F9" w:rsidRDefault="000C35F9" w:rsidP="00C424E0">
      <w:pPr>
        <w:rPr>
          <w:rFonts w:cs="Arial"/>
          <w:b/>
          <w:sz w:val="17"/>
          <w:szCs w:val="17"/>
        </w:rPr>
      </w:pPr>
    </w:p>
    <w:p w14:paraId="04E3BA59" w14:textId="77777777" w:rsidR="00C424E0" w:rsidRPr="00D77C86" w:rsidRDefault="00C424E0" w:rsidP="00C424E0">
      <w:pPr>
        <w:rPr>
          <w:rFonts w:cs="Arial"/>
          <w:b/>
          <w:sz w:val="17"/>
          <w:szCs w:val="17"/>
        </w:rPr>
      </w:pPr>
      <w:r>
        <w:rPr>
          <w:rFonts w:cs="Arial"/>
          <w:b/>
          <w:sz w:val="17"/>
          <w:szCs w:val="17"/>
        </w:rPr>
        <w:t>Hintergrundinformation</w:t>
      </w:r>
      <w:r w:rsidRPr="00D77C86">
        <w:rPr>
          <w:rFonts w:cs="Arial"/>
          <w:b/>
          <w:sz w:val="17"/>
          <w:szCs w:val="17"/>
        </w:rPr>
        <w:t xml:space="preserve"> TCT </w:t>
      </w:r>
      <w:r>
        <w:rPr>
          <w:rFonts w:cs="Arial"/>
          <w:b/>
          <w:sz w:val="17"/>
          <w:szCs w:val="17"/>
        </w:rPr>
        <w:t>(Content Partner)</w:t>
      </w:r>
    </w:p>
    <w:p w14:paraId="717FC099" w14:textId="3BBAB6A5" w:rsidR="00CA240F" w:rsidRPr="00CA240F" w:rsidRDefault="00CA240F" w:rsidP="00CA240F">
      <w:pPr>
        <w:spacing w:line="280" w:lineRule="atLeast"/>
        <w:rPr>
          <w:rFonts w:cs="Arial"/>
          <w:sz w:val="17"/>
          <w:szCs w:val="17"/>
        </w:rPr>
      </w:pPr>
      <w:r w:rsidRPr="00CA240F">
        <w:rPr>
          <w:rFonts w:cs="Arial"/>
          <w:sz w:val="17"/>
          <w:szCs w:val="17"/>
        </w:rPr>
        <w:t>Die 1992 gegründete TCT Group hat es sich zur Aufgabe gemacht, die Innovation im Bereich Design</w:t>
      </w:r>
      <w:r>
        <w:rPr>
          <w:rFonts w:cs="Arial"/>
          <w:sz w:val="17"/>
          <w:szCs w:val="17"/>
        </w:rPr>
        <w:t>-</w:t>
      </w:r>
      <w:r w:rsidRPr="00CA240F">
        <w:rPr>
          <w:rFonts w:cs="Arial"/>
          <w:sz w:val="17"/>
          <w:szCs w:val="17"/>
        </w:rPr>
        <w:t>to</w:t>
      </w:r>
      <w:r>
        <w:rPr>
          <w:rFonts w:cs="Arial"/>
          <w:sz w:val="17"/>
          <w:szCs w:val="17"/>
        </w:rPr>
        <w:t>-</w:t>
      </w:r>
      <w:r w:rsidRPr="00CA240F">
        <w:rPr>
          <w:rFonts w:cs="Arial"/>
          <w:sz w:val="17"/>
          <w:szCs w:val="17"/>
        </w:rPr>
        <w:t xml:space="preserve">Manufacturing zu beschleunigen. Durch globale Messen, Konferenzen, Zeitschriften, Websites und digitale Produkte liefert TCT geschäftskritische Einblicke in die Technologien, die Herstellern helfen, bessere Produkte schneller und kostengünstiger herzustellen. Mit den TCT Awards zeichnet TCT die innovativsten Produkte und Anwendungen entlang der gesamten Design-to-Manufacturing-Prozesskette aus. Die TCT-Gruppe gehört zu Rapid News Publications Ltd, einem Unternehmen der Rapid News Group. </w:t>
      </w:r>
      <w:r w:rsidRPr="00CA240F">
        <w:rPr>
          <w:rFonts w:cs="Arial"/>
          <w:sz w:val="17"/>
          <w:szCs w:val="17"/>
        </w:rPr>
        <w:lastRenderedPageBreak/>
        <w:t xml:space="preserve">(thetctgroup.com) </w:t>
      </w:r>
    </w:p>
    <w:p w14:paraId="4D0CA159" w14:textId="77777777" w:rsidR="00CA240F" w:rsidRPr="00CA240F" w:rsidRDefault="00CA240F" w:rsidP="00CA240F">
      <w:pPr>
        <w:spacing w:line="280" w:lineRule="atLeast"/>
        <w:rPr>
          <w:rFonts w:cs="Arial"/>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5E0AFCE8"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rund 170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1ABD" w14:textId="77777777" w:rsidR="006221B3" w:rsidRDefault="006221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3559C2">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3559C2">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" filled="f" stroked="f">
              <v:textbox inset="0,0,0,0">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FBB" w14:textId="77777777" w:rsidR="006221B3" w:rsidRDefault="006221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de-AT"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3652D"/>
    <w:rsid w:val="00060B9F"/>
    <w:rsid w:val="00074D79"/>
    <w:rsid w:val="000C35F9"/>
    <w:rsid w:val="000C7BAB"/>
    <w:rsid w:val="00107686"/>
    <w:rsid w:val="00142497"/>
    <w:rsid w:val="00165FF7"/>
    <w:rsid w:val="00173C77"/>
    <w:rsid w:val="001F6A63"/>
    <w:rsid w:val="002008A7"/>
    <w:rsid w:val="0020304E"/>
    <w:rsid w:val="00226CDB"/>
    <w:rsid w:val="00242D39"/>
    <w:rsid w:val="00285AB4"/>
    <w:rsid w:val="002B514A"/>
    <w:rsid w:val="002D5806"/>
    <w:rsid w:val="002E3A34"/>
    <w:rsid w:val="002E4071"/>
    <w:rsid w:val="002F268B"/>
    <w:rsid w:val="00335C09"/>
    <w:rsid w:val="003443ED"/>
    <w:rsid w:val="003559C2"/>
    <w:rsid w:val="00391301"/>
    <w:rsid w:val="003931FA"/>
    <w:rsid w:val="003A1ADA"/>
    <w:rsid w:val="003C3677"/>
    <w:rsid w:val="003F7EFE"/>
    <w:rsid w:val="004202FE"/>
    <w:rsid w:val="004573F6"/>
    <w:rsid w:val="00463230"/>
    <w:rsid w:val="00470A7B"/>
    <w:rsid w:val="00472E6E"/>
    <w:rsid w:val="004D3A00"/>
    <w:rsid w:val="005077EA"/>
    <w:rsid w:val="005B1615"/>
    <w:rsid w:val="005F071D"/>
    <w:rsid w:val="006221B3"/>
    <w:rsid w:val="00624A45"/>
    <w:rsid w:val="00660586"/>
    <w:rsid w:val="00670EC2"/>
    <w:rsid w:val="006C5A37"/>
    <w:rsid w:val="006D2514"/>
    <w:rsid w:val="006D63B7"/>
    <w:rsid w:val="006E5DEC"/>
    <w:rsid w:val="0076695A"/>
    <w:rsid w:val="00795E67"/>
    <w:rsid w:val="00795F39"/>
    <w:rsid w:val="0081596C"/>
    <w:rsid w:val="008B26B0"/>
    <w:rsid w:val="008F4E8E"/>
    <w:rsid w:val="00921FF1"/>
    <w:rsid w:val="0094547D"/>
    <w:rsid w:val="00977976"/>
    <w:rsid w:val="00984ED4"/>
    <w:rsid w:val="00991781"/>
    <w:rsid w:val="009A3101"/>
    <w:rsid w:val="009C4D81"/>
    <w:rsid w:val="00A03A11"/>
    <w:rsid w:val="00A207A4"/>
    <w:rsid w:val="00A24609"/>
    <w:rsid w:val="00A25772"/>
    <w:rsid w:val="00A7531C"/>
    <w:rsid w:val="00A96A07"/>
    <w:rsid w:val="00AA41F1"/>
    <w:rsid w:val="00AC19E1"/>
    <w:rsid w:val="00AD2097"/>
    <w:rsid w:val="00B00220"/>
    <w:rsid w:val="00BB0FF0"/>
    <w:rsid w:val="00BD2040"/>
    <w:rsid w:val="00C06314"/>
    <w:rsid w:val="00C424E0"/>
    <w:rsid w:val="00C44385"/>
    <w:rsid w:val="00C6463C"/>
    <w:rsid w:val="00CA240F"/>
    <w:rsid w:val="00CC4EE5"/>
    <w:rsid w:val="00D362FB"/>
    <w:rsid w:val="00D57E58"/>
    <w:rsid w:val="00DB1C4E"/>
    <w:rsid w:val="00E02A37"/>
    <w:rsid w:val="00E20196"/>
    <w:rsid w:val="00E229D9"/>
    <w:rsid w:val="00ED1F74"/>
    <w:rsid w:val="00EE3C8A"/>
    <w:rsid w:val="00F63F5D"/>
    <w:rsid w:val="00F87E91"/>
    <w:rsid w:val="00F913D1"/>
    <w:rsid w:val="00FA329A"/>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C44385"/>
    <w:rPr>
      <w:sz w:val="16"/>
      <w:szCs w:val="16"/>
    </w:rPr>
  </w:style>
  <w:style w:type="paragraph" w:styleId="Kommentartext">
    <w:name w:val="annotation text"/>
    <w:basedOn w:val="Standard"/>
    <w:link w:val="KommentartextZchn"/>
    <w:uiPriority w:val="99"/>
    <w:semiHidden/>
    <w:unhideWhenUsed/>
    <w:rsid w:val="00C44385"/>
    <w:pPr>
      <w:widowControl/>
      <w:spacing w:after="160"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C4438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0F8C-14C9-40F5-8A1E-B8A89863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942</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6868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4</cp:revision>
  <cp:lastPrinted>2014-08-08T15:06:00Z</cp:lastPrinted>
  <dcterms:created xsi:type="dcterms:W3CDTF">2022-02-10T16:12:00Z</dcterms:created>
  <dcterms:modified xsi:type="dcterms:W3CDTF">2022-02-10T16:20:00Z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